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A439" w14:textId="77777777" w:rsidR="008B5A9E" w:rsidRPr="00590AEA" w:rsidRDefault="008B5A9E" w:rsidP="008B5A9E">
      <w:pPr>
        <w:suppressAutoHyphens/>
        <w:jc w:val="right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  <w:r w:rsidRPr="00590AEA">
        <w:rPr>
          <w:rFonts w:ascii="Times New Roman" w:eastAsia="SimSun" w:hAnsi="Times New Roman" w:cs="Times New Roman"/>
          <w:i/>
          <w:kern w:val="0"/>
          <w:lang w:eastAsia="ar-SA"/>
          <w14:ligatures w14:val="none"/>
        </w:rPr>
        <w:t>Projekt</w:t>
      </w:r>
    </w:p>
    <w:p w14:paraId="3F9B0848" w14:textId="77777777" w:rsidR="008B5A9E" w:rsidRDefault="008B5A9E" w:rsidP="008B5A9E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  <w:bookmarkStart w:id="0" w:name="_Hlk172801897"/>
    </w:p>
    <w:p w14:paraId="39998960" w14:textId="77777777" w:rsidR="008B5A9E" w:rsidRPr="00590AEA" w:rsidRDefault="008B5A9E" w:rsidP="008B5A9E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  <w:r w:rsidRPr="00590AEA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  <w:t>USTAWA</w:t>
      </w:r>
    </w:p>
    <w:bookmarkEnd w:id="0"/>
    <w:p w14:paraId="5237EBD6" w14:textId="77777777" w:rsidR="008B5A9E" w:rsidRPr="00590AEA" w:rsidRDefault="008B5A9E" w:rsidP="008B5A9E">
      <w:pPr>
        <w:suppressAutoHyphens/>
        <w:jc w:val="center"/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590AEA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z dnia …</w:t>
      </w:r>
    </w:p>
    <w:p w14:paraId="465F40EA" w14:textId="77777777" w:rsidR="008B5A9E" w:rsidRPr="00590AEA" w:rsidRDefault="008B5A9E" w:rsidP="008B5A9E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0AEA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o zmianie ustawy </w:t>
      </w:r>
      <w:r w:rsidRPr="00297E7A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o 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wykonywaniu mandatu posła i senatora</w:t>
      </w:r>
    </w:p>
    <w:p w14:paraId="4F4A387C" w14:textId="77777777" w:rsidR="008B5A9E" w:rsidRPr="00590AEA" w:rsidRDefault="008B5A9E" w:rsidP="008B5A9E">
      <w:pPr>
        <w:suppressAutoHyphens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6D65C0F7" w14:textId="77777777" w:rsidR="008B5A9E" w:rsidRPr="00083E65" w:rsidRDefault="008B5A9E" w:rsidP="008B5A9E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0AEA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Art. 1</w:t>
      </w:r>
      <w:bookmarkStart w:id="1" w:name="_Hlk176439065"/>
      <w:r w:rsidRPr="00590AEA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. W ustawie z dnia 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9 maja 1996</w:t>
      </w:r>
      <w:r w:rsidRPr="00590AEA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r.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bookmarkStart w:id="2" w:name="_Hlk178937336"/>
      <w:r w:rsidRPr="00590AEA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o </w:t>
      </w:r>
      <w:bookmarkEnd w:id="2"/>
      <w:r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wykonywaniu mandatu posła i senatora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(Dz.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 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U. z 2024 r. poz</w:t>
      </w:r>
      <w:r w:rsidRPr="00BC75F8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. 907)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BC75F8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art. 5a otrzymuje brzmienie:</w:t>
      </w:r>
      <w:bookmarkEnd w:id="1"/>
    </w:p>
    <w:p w14:paraId="73A8AE5A" w14:textId="77777777" w:rsidR="008B5A9E" w:rsidRDefault="008B5A9E" w:rsidP="008B5A9E">
      <w:pPr>
        <w:suppressAutoHyphens/>
        <w:spacing w:after="0" w:line="360" w:lineRule="auto"/>
        <w:ind w:firstLine="35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„</w:t>
      </w:r>
      <w:r w:rsidRPr="00083E6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Art. 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5a</w:t>
      </w:r>
      <w:r w:rsidRPr="00083E6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Poseł lub senator w czasie pozbawienia wolności albo względem którego wydano postanowienie </w:t>
      </w:r>
      <w:bookmarkStart w:id="3" w:name="_Hlk185584569"/>
      <w:r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o zastosowaniu tymczasowego aresztowania </w:t>
      </w:r>
      <w:bookmarkEnd w:id="3"/>
      <w:r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nie wykonuje praw i obowiązków wynikających z niniejszej ustawy.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”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9359ED2" w14:textId="77777777" w:rsidR="008B5A9E" w:rsidRDefault="008B5A9E" w:rsidP="008B5A9E">
      <w:pPr>
        <w:suppressAutoHyphens/>
        <w:spacing w:after="0" w:line="360" w:lineRule="auto"/>
        <w:ind w:firstLine="35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91A95F7" w14:textId="77777777" w:rsidR="008B5A9E" w:rsidRDefault="008B5A9E" w:rsidP="008B5A9E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30263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Art. 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2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. Przepis art. 5a ustawy zmienianej w art. 1 w brzmieniu nadanym niniejszą ustawą stosuje się także do posła lub senatora, względem którego wydano postanowienie o zastosowaniu tymczasowego aresztowania przed dniem wejścia w życie niniejszej ustawy.</w:t>
      </w:r>
    </w:p>
    <w:p w14:paraId="5BF7D6A2" w14:textId="77777777" w:rsidR="008B5A9E" w:rsidRPr="00083E65" w:rsidRDefault="008B5A9E" w:rsidP="008B5A9E">
      <w:pPr>
        <w:suppressAutoHyphens/>
        <w:spacing w:after="0" w:line="360" w:lineRule="auto"/>
        <w:ind w:firstLine="35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DF1DDA4" w14:textId="77777777" w:rsidR="008B5A9E" w:rsidRPr="00083E65" w:rsidRDefault="008B5A9E" w:rsidP="008B5A9E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83E6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Art. 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3</w:t>
      </w:r>
      <w:r w:rsidRPr="00083E6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Ustawa </w:t>
      </w:r>
      <w:r w:rsidRPr="00BC75F8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wchodzi w życie z dniem następującym po dniu ogłoszenia.</w:t>
      </w:r>
    </w:p>
    <w:p w14:paraId="52D0BFC8" w14:textId="77777777" w:rsidR="008B5A9E" w:rsidRPr="00083E65" w:rsidRDefault="008B5A9E" w:rsidP="008B5A9E">
      <w:pPr>
        <w:spacing w:after="120" w:line="312" w:lineRule="auto"/>
      </w:pPr>
    </w:p>
    <w:p w14:paraId="2D5A4861" w14:textId="77777777" w:rsidR="008B5A9E" w:rsidRPr="00083E65" w:rsidRDefault="008B5A9E" w:rsidP="008B5A9E">
      <w:pPr>
        <w:spacing w:after="120" w:line="312" w:lineRule="auto"/>
      </w:pPr>
    </w:p>
    <w:p w14:paraId="7B977A37" w14:textId="77777777" w:rsidR="008B5A9E" w:rsidRPr="00083E65" w:rsidRDefault="008B5A9E" w:rsidP="008B5A9E">
      <w:pPr>
        <w:spacing w:after="120" w:line="312" w:lineRule="auto"/>
      </w:pPr>
    </w:p>
    <w:p w14:paraId="7D388D08" w14:textId="77777777" w:rsidR="008B5A9E" w:rsidRPr="00083E65" w:rsidRDefault="008B5A9E" w:rsidP="008B5A9E">
      <w:pPr>
        <w:spacing w:after="120" w:line="312" w:lineRule="auto"/>
      </w:pPr>
    </w:p>
    <w:p w14:paraId="7D877240" w14:textId="77777777" w:rsidR="008B5A9E" w:rsidRPr="00083E65" w:rsidRDefault="008B5A9E" w:rsidP="008B5A9E">
      <w:pPr>
        <w:spacing w:after="120" w:line="312" w:lineRule="auto"/>
      </w:pPr>
    </w:p>
    <w:p w14:paraId="5036F550" w14:textId="77777777" w:rsidR="008B5A9E" w:rsidRPr="00083E65" w:rsidRDefault="008B5A9E" w:rsidP="008B5A9E">
      <w:pPr>
        <w:spacing w:after="120" w:line="312" w:lineRule="auto"/>
      </w:pPr>
    </w:p>
    <w:p w14:paraId="676DE5D6" w14:textId="77777777" w:rsidR="008B5A9E" w:rsidRDefault="008B5A9E" w:rsidP="008B5A9E">
      <w:pPr>
        <w:spacing w:after="120" w:line="312" w:lineRule="auto"/>
      </w:pPr>
    </w:p>
    <w:p w14:paraId="7E173288" w14:textId="77777777" w:rsidR="008B5A9E" w:rsidRDefault="008B5A9E" w:rsidP="008B5A9E">
      <w:pPr>
        <w:spacing w:after="120" w:line="312" w:lineRule="auto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</w:p>
    <w:p w14:paraId="5AFA8BE8" w14:textId="77777777" w:rsidR="008B5A9E" w:rsidRDefault="008B5A9E" w:rsidP="008B5A9E">
      <w:pPr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  <w:r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  <w:br w:type="page"/>
      </w:r>
    </w:p>
    <w:p w14:paraId="58D630E6" w14:textId="77777777" w:rsidR="008B5A9E" w:rsidRPr="00590AEA" w:rsidRDefault="008B5A9E" w:rsidP="008B5A9E">
      <w:pPr>
        <w:keepNext/>
        <w:suppressAutoHyphens/>
        <w:spacing w:after="120" w:line="288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  <w:r w:rsidRPr="00590AEA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  <w:lastRenderedPageBreak/>
        <w:t>U</w:t>
      </w:r>
      <w:r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  <w:t>ZASADNIENIE</w:t>
      </w:r>
    </w:p>
    <w:p w14:paraId="2C1EDDCB" w14:textId="77777777" w:rsidR="008B5A9E" w:rsidRPr="008F6FB4" w:rsidRDefault="008B5A9E" w:rsidP="008B5A9E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372F8059" w14:textId="77777777" w:rsidR="008B5A9E" w:rsidRPr="008F6FB4" w:rsidRDefault="008B5A9E" w:rsidP="008B5A9E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345BBABD" w14:textId="77777777" w:rsidR="008B5A9E" w:rsidRDefault="008B5A9E" w:rsidP="008B5A9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8F6FB4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Przedstawiony przez grupę posłów projekt nowelizacji ustawy o wykonywaniu mandatu posła i senatora ma na celu uregulowanie sytuacji prawnej posła albo senatora, względem którego wydane zostało postanowienie o zastosowani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u</w:t>
      </w:r>
      <w:r w:rsidRPr="008F6FB4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tymczasowego aresztowania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. Projekt uzupełnia art. 5a ustawy, który został wprowadzony ustawą z </w:t>
      </w:r>
      <w:r w:rsidRPr="008F6FB4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6 stycznia 2005 r.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Pr="008F6FB4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o zmianie ustawy o wykonywaniu mandatu posła i senatora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(Dz.U. </w:t>
      </w:r>
      <w:r w:rsidRPr="008F6FB4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Nr 48, poz. 446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). W obecnym stanie prawnym zakres zastosowania przywołanego przepisu obejmuje sytuacje, w której poseł lub senator jest „pozbawiony wolności”, przy czym pojęcie to rozumie się jako faktyczne pozbawienie wolności parlamentarzysty, tj. zarówno jako </w:t>
      </w:r>
      <w:r w:rsidRPr="008F6FB4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wykonanie prawomocnie orzeczonej 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względem niego </w:t>
      </w:r>
      <w:r w:rsidRPr="008F6FB4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kary pozbawienia wolności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, jak i zastosowanie </w:t>
      </w:r>
      <w:r w:rsidRPr="008F6FB4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izolacyjnego środka zapobiegawczego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w postaci tymczasowego aresztowania. Natomiast art. 5a nie odnosi się do sytuacji, w której względem posła i senatora wydane zostało w przepisanym prawem trybie postanowienie </w:t>
      </w:r>
      <w:r w:rsidRPr="009F1BF5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o zastosowaniu tymczasowego aresztowania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, lecz nie doszło do rozpoczęcia stosowania tego środka izolacyjnego, np. wskutek ukrywania się parlamentarzysty przed organami ścigania.</w:t>
      </w:r>
    </w:p>
    <w:p w14:paraId="3E17A76C" w14:textId="77777777" w:rsidR="008B5A9E" w:rsidRPr="008F6FB4" w:rsidRDefault="008B5A9E" w:rsidP="008B5A9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Proponowane rozwiązanie rozciąga zakres zastosowania art. 5a ustawy </w:t>
      </w:r>
      <w:r w:rsidRPr="009F1BF5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o wykonywaniu mandatu posła i senatora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na opisaną wyżej sytuację. W konsekwencji, w razie wydania względem posła lub senatora postanowienia o </w:t>
      </w:r>
      <w:r w:rsidRPr="009F1BF5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zastosowaniu tymczasowego aresztowania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, parlamentarzysta zaprzestanie wykonywania praw i obowiązków wynikających z </w:t>
      </w:r>
      <w:r w:rsidRPr="009F1BF5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ustawy o wykonywaniu mandatu posła i senatora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. Nie będzie mógł więc w szczególności wykonywać tzw. uprawnień terenowych (w tym tzw. prawa do informacji – art. 19 ustawy, a także interwencji – art. 20 ustawy), a także korzystać z uprawnień socjalno-bytowych, jak prawo do uposażenia (art. 25 ustawy) czy do diety parlamentarnej (art. 42 ustawy). Ponadto w ww. sytuacji na mocy art. 23 ust. 10a ustawy </w:t>
      </w:r>
      <w:r w:rsidRPr="009F1BF5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prawa i obowiązki posła i senatora wynikające z funkcjonowania i znoszenia biura 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poselskiego bądź senatorskiego </w:t>
      </w:r>
      <w:r w:rsidRPr="009F1BF5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prze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jdą</w:t>
      </w:r>
      <w:r w:rsidRPr="009F1BF5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odpowiednio na Marszałka Sejmu lub Marszałka Senat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u.</w:t>
      </w:r>
    </w:p>
    <w:p w14:paraId="2C7EAE01" w14:textId="77777777" w:rsidR="008B5A9E" w:rsidRDefault="008B5A9E" w:rsidP="008B5A9E">
      <w:pPr>
        <w:widowControl w:val="0"/>
        <w:autoSpaceDE w:val="0"/>
        <w:autoSpaceDN w:val="0"/>
        <w:adjustRightInd w:val="0"/>
        <w:spacing w:after="120" w:line="288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2E6390D" w14:textId="77777777" w:rsidR="008B5A9E" w:rsidRDefault="008B5A9E" w:rsidP="008B5A9E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A1C9D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Projekt przewiduje wejście w życie regulacji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z dniem następującym po dniu ogłoszenia</w:t>
      </w:r>
      <w:r w:rsidRPr="006A1C9D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. Jest to spowodowane okolicznością, że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obecne brzmienie art. 5a ustawy o wykonywaniu mandatu posła i senatora może być wykorzystywane instrumentalnie przez posłów lub senatorów, np. w postaci ukrywania się przed organami ścigania. </w:t>
      </w:r>
      <w:r w:rsidRPr="006A1C9D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Wejście w życie </w:t>
      </w:r>
      <w:r w:rsidRPr="006A1C9D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lastRenderedPageBreak/>
        <w:t>projektowanego aktu w terminie krótszym od określonego w art. 4 ust. 1 ustawy z dnia 20 lipca 2000 r. o ogłaszaniu aktów normatywnych i niektórych innych aktów prawnych (Dz.U. z 2019 r. poz. 1461) podyktowane jest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zapewnieniem skuteczności projektowanych regulacji oraz jest skorelowane z przepisem przejściowym z art. 2 projektu ustawy. W celu uniemożliwienia instrumentalnego traktowania obecnego brzmienia art. 5a ustawy o wykonywaniu mandatu posła i senatora w przepisie tym przewidziano, że</w:t>
      </w:r>
      <w:r w:rsidRPr="006A1C9D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zaproponowane regulacje stosowane będą także do posła lub senatora, względem którego wydano postanowienie o zastosowaniu tymczasowego aresztowania przed dniem wejścia w życie projektowanej ustawy.</w:t>
      </w:r>
    </w:p>
    <w:p w14:paraId="252775A6" w14:textId="77777777" w:rsidR="008B5A9E" w:rsidRDefault="008B5A9E" w:rsidP="008B5A9E">
      <w:pPr>
        <w:widowControl w:val="0"/>
        <w:autoSpaceDE w:val="0"/>
        <w:autoSpaceDN w:val="0"/>
        <w:adjustRightInd w:val="0"/>
        <w:spacing w:after="120" w:line="288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5D9378B" w14:textId="77777777" w:rsidR="008B5A9E" w:rsidRPr="00241437" w:rsidRDefault="008B5A9E" w:rsidP="008B5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Projekt ustawy pociąga za sobą 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niewielkie </w:t>
      </w: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skutk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i</w:t>
      </w: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finansow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e</w:t>
      </w: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dla budżetu państwa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, gdyż w okresie od wydania względem posła lub senatora postanowienia o zastosowaniu tymczasowego aresztowania do faktycznego rozpoczęcia wykonywania tego środka zapobiegawczego nie będą parlamentarzyście wypłacane środki finansowe przewidziane ustawą (w szczególności uposażenie czy dieta parlamentarna). Projekt nie wywołuje skutków finansowych </w:t>
      </w: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dla budżetów jednostek samorządu terytorialnego. </w:t>
      </w:r>
    </w:p>
    <w:p w14:paraId="2934D253" w14:textId="77777777" w:rsidR="008B5A9E" w:rsidRDefault="008B5A9E" w:rsidP="008B5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6A757352" w14:textId="77777777" w:rsidR="008B5A9E" w:rsidRPr="00241437" w:rsidRDefault="008B5A9E" w:rsidP="008B5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Projekt ustawy wywołuje pozytywne skutki społeczne,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wzmacniając poczucie praworządności w społeczeństwie poprzez wykluczenie prób nadużywania prawa przez parlamentarzystów, </w:t>
      </w: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względem których wydane zostanie </w:t>
      </w:r>
      <w:r w:rsidRPr="00523548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postanowienie o zastosowani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u</w:t>
      </w:r>
      <w:r w:rsidRPr="00523548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tymczasowego aresztowania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. Natomiast projekt nie wywołuje skutków</w:t>
      </w:r>
      <w:r w:rsidRPr="00523548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gospodarcz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ych..</w:t>
      </w:r>
    </w:p>
    <w:p w14:paraId="36D60155" w14:textId="77777777" w:rsidR="008B5A9E" w:rsidRDefault="008B5A9E" w:rsidP="008B5A9E">
      <w:pPr>
        <w:pStyle w:val="ARTartustawynprozporzdzenia"/>
        <w:spacing w:before="0" w:after="120" w:line="288" w:lineRule="auto"/>
        <w:ind w:firstLine="709"/>
        <w:rPr>
          <w:rFonts w:ascii="Times New Roman" w:hAnsi="Times New Roman" w:cs="Times New Roman"/>
        </w:rPr>
      </w:pPr>
    </w:p>
    <w:p w14:paraId="4AFDECF9" w14:textId="77777777" w:rsidR="008B5A9E" w:rsidRPr="00241437" w:rsidRDefault="008B5A9E" w:rsidP="008B5A9E">
      <w:pPr>
        <w:pStyle w:val="ARTartustawynprozporzdzenia"/>
        <w:spacing w:before="0"/>
        <w:ind w:firstLine="709"/>
        <w:rPr>
          <w:rFonts w:ascii="Times New Roman" w:hAnsi="Times New Roman" w:cs="Times New Roman"/>
        </w:rPr>
      </w:pPr>
      <w:r w:rsidRPr="00241437">
        <w:rPr>
          <w:rFonts w:ascii="Times New Roman" w:hAnsi="Times New Roman" w:cs="Times New Roman"/>
        </w:rPr>
        <w:t xml:space="preserve">Projekt ustawy nie ma wpływu na działalność </w:t>
      </w:r>
      <w:proofErr w:type="spellStart"/>
      <w:r w:rsidRPr="00241437">
        <w:rPr>
          <w:rFonts w:ascii="Times New Roman" w:hAnsi="Times New Roman" w:cs="Times New Roman"/>
        </w:rPr>
        <w:t>mikroprzedsiębiorców</w:t>
      </w:r>
      <w:proofErr w:type="spellEnd"/>
      <w:r w:rsidRPr="00241437">
        <w:rPr>
          <w:rFonts w:ascii="Times New Roman" w:hAnsi="Times New Roman" w:cs="Times New Roman"/>
        </w:rPr>
        <w:t xml:space="preserve"> oraz małych i średnich przedsiębiorców.</w:t>
      </w:r>
    </w:p>
    <w:p w14:paraId="0A78F729" w14:textId="77777777" w:rsidR="008B5A9E" w:rsidRDefault="008B5A9E" w:rsidP="008B5A9E">
      <w:pPr>
        <w:widowControl w:val="0"/>
        <w:autoSpaceDE w:val="0"/>
        <w:autoSpaceDN w:val="0"/>
        <w:adjustRightInd w:val="0"/>
        <w:spacing w:after="120" w:line="288" w:lineRule="auto"/>
        <w:ind w:firstLine="708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DAE862E" w14:textId="77777777" w:rsidR="008B5A9E" w:rsidRPr="00241437" w:rsidRDefault="008B5A9E" w:rsidP="008B5A9E">
      <w:pPr>
        <w:widowControl w:val="0"/>
        <w:autoSpaceDE w:val="0"/>
        <w:autoSpaceDN w:val="0"/>
        <w:adjustRightInd w:val="0"/>
        <w:spacing w:after="120" w:line="288" w:lineRule="auto"/>
        <w:ind w:firstLine="708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Projekt ustawy nie jest sprzeczny z prawem Unii Europejskiej.</w:t>
      </w:r>
    </w:p>
    <w:p w14:paraId="0B5E8BF3" w14:textId="77777777" w:rsidR="008B5A9E" w:rsidRDefault="008B5A9E" w:rsidP="008B5A9E">
      <w:pPr>
        <w:spacing w:after="120" w:line="288" w:lineRule="auto"/>
      </w:pPr>
    </w:p>
    <w:p w14:paraId="37A809CB" w14:textId="77777777" w:rsidR="008B5A9E" w:rsidRDefault="008B5A9E"/>
    <w:sectPr w:rsidR="008B5A9E" w:rsidSect="008B5A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9E"/>
    <w:rsid w:val="00283DF6"/>
    <w:rsid w:val="008B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BD86"/>
  <w15:chartTrackingRefBased/>
  <w15:docId w15:val="{1AB78154-0B40-4E72-88F6-C9E65E88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A9E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5A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5A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A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A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A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5A9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5A9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5A9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5A9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5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A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A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5A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5A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5A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5A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5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A9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5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5A9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B5A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5A9E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8B5A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5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5A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5A9E"/>
    <w:rPr>
      <w:b/>
      <w:bCs/>
      <w:smallCaps/>
      <w:color w:val="0F4761" w:themeColor="accent1" w:themeShade="BF"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8B5A9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Pachocki</dc:creator>
  <cp:keywords/>
  <dc:description/>
  <cp:lastModifiedBy>Wiktor Pachocki</cp:lastModifiedBy>
  <cp:revision>1</cp:revision>
  <dcterms:created xsi:type="dcterms:W3CDTF">2024-12-31T11:01:00Z</dcterms:created>
  <dcterms:modified xsi:type="dcterms:W3CDTF">2024-12-31T11:03:00Z</dcterms:modified>
</cp:coreProperties>
</file>